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27C33" w14:textId="77777777" w:rsidR="000B46D4" w:rsidRPr="00CF6B0A" w:rsidRDefault="000B46D4" w:rsidP="000B46D4">
      <w:pPr>
        <w:shd w:val="clear" w:color="auto" w:fill="FFFFFF"/>
        <w:spacing w:after="150" w:line="360" w:lineRule="auto"/>
        <w:jc w:val="right"/>
        <w:rPr>
          <w:rFonts w:ascii="Arial" w:eastAsia="Times New Roman" w:hAnsi="Arial" w:cs="Arial"/>
          <w:b/>
          <w:color w:val="0070C0"/>
          <w:sz w:val="24"/>
          <w:szCs w:val="24"/>
          <w:lang w:val="ro-RO" w:eastAsia="en-GB"/>
        </w:rPr>
      </w:pPr>
      <w:r w:rsidRPr="00CF6B0A">
        <w:rPr>
          <w:rFonts w:ascii="Arial" w:eastAsia="Times New Roman" w:hAnsi="Arial" w:cs="Arial"/>
          <w:b/>
          <w:color w:val="0070C0"/>
          <w:sz w:val="24"/>
          <w:szCs w:val="24"/>
          <w:lang w:val="ro-RO" w:eastAsia="en-GB"/>
        </w:rPr>
        <w:t>20.01.2021</w:t>
      </w:r>
    </w:p>
    <w:p w14:paraId="38238FFD" w14:textId="77777777" w:rsidR="000B46D4" w:rsidRPr="00CF6B0A" w:rsidRDefault="000B46D4" w:rsidP="000B46D4">
      <w:pPr>
        <w:pBdr>
          <w:bottom w:val="single" w:sz="6" w:space="2" w:color="B9D2E3"/>
        </w:pBdr>
        <w:shd w:val="clear" w:color="auto" w:fill="FFFFFF"/>
        <w:spacing w:after="0" w:line="360" w:lineRule="auto"/>
        <w:ind w:left="75" w:right="75"/>
        <w:jc w:val="center"/>
        <w:outlineLvl w:val="0"/>
        <w:rPr>
          <w:rFonts w:ascii="Arial" w:eastAsia="Times New Roman" w:hAnsi="Arial" w:cs="Arial"/>
          <w:b/>
          <w:bCs/>
          <w:color w:val="0070C0"/>
          <w:kern w:val="36"/>
          <w:sz w:val="28"/>
          <w:szCs w:val="28"/>
          <w:lang w:val="ro-RO" w:eastAsia="en-GB"/>
        </w:rPr>
      </w:pPr>
      <w:r w:rsidRPr="00CF6B0A">
        <w:rPr>
          <w:rFonts w:ascii="Arial" w:eastAsia="Times New Roman" w:hAnsi="Arial" w:cs="Arial"/>
          <w:b/>
          <w:bCs/>
          <w:color w:val="0070C0"/>
          <w:kern w:val="36"/>
          <w:sz w:val="28"/>
          <w:szCs w:val="28"/>
          <w:lang w:val="ro-RO" w:eastAsia="en-GB"/>
        </w:rPr>
        <w:t>Anunț selecție grup țintă</w:t>
      </w:r>
    </w:p>
    <w:p w14:paraId="4757A01F" w14:textId="77777777" w:rsidR="000B46D4" w:rsidRPr="00CF6B0A" w:rsidRDefault="000B46D4" w:rsidP="000B46D4">
      <w:pPr>
        <w:jc w:val="both"/>
        <w:rPr>
          <w:rFonts w:ascii="Arial" w:hAnsi="Arial" w:cs="Arial"/>
          <w:b/>
          <w:bCs/>
          <w:color w:val="004289"/>
          <w:sz w:val="24"/>
          <w:szCs w:val="24"/>
          <w:lang w:val="ro-RO"/>
        </w:rPr>
      </w:pPr>
      <w:r w:rsidRPr="00CF6B0A">
        <w:rPr>
          <w:rFonts w:ascii="Arial" w:hAnsi="Arial" w:cs="Arial"/>
          <w:b/>
          <w:bCs/>
          <w:color w:val="004289"/>
          <w:sz w:val="24"/>
          <w:szCs w:val="24"/>
          <w:lang w:val="ro-RO"/>
        </w:rPr>
        <w:t>Inspectoratul Școlar Județean Prahova, în colaborare cu Inspectoratul Școlar Județean Neamț, cu  Asociația “</w:t>
      </w:r>
      <w:proofErr w:type="spellStart"/>
      <w:r w:rsidRPr="00CF6B0A">
        <w:rPr>
          <w:rFonts w:ascii="Arial" w:hAnsi="Arial" w:cs="Arial"/>
          <w:b/>
          <w:bCs/>
          <w:color w:val="004289"/>
          <w:sz w:val="24"/>
          <w:szCs w:val="24"/>
          <w:lang w:val="ro-RO"/>
        </w:rPr>
        <w:t>Go</w:t>
      </w:r>
      <w:proofErr w:type="spellEnd"/>
      <w:r w:rsidRPr="00CF6B0A">
        <w:rPr>
          <w:rFonts w:ascii="Arial" w:hAnsi="Arial" w:cs="Arial"/>
          <w:b/>
          <w:bCs/>
          <w:color w:val="004289"/>
          <w:sz w:val="24"/>
          <w:szCs w:val="24"/>
          <w:lang w:val="ro-RO"/>
        </w:rPr>
        <w:t xml:space="preserve"> </w:t>
      </w:r>
      <w:proofErr w:type="spellStart"/>
      <w:r w:rsidRPr="00CF6B0A">
        <w:rPr>
          <w:rFonts w:ascii="Arial" w:hAnsi="Arial" w:cs="Arial"/>
          <w:b/>
          <w:bCs/>
          <w:color w:val="004289"/>
          <w:sz w:val="24"/>
          <w:szCs w:val="24"/>
          <w:lang w:val="ro-RO"/>
        </w:rPr>
        <w:t>Ahead</w:t>
      </w:r>
      <w:proofErr w:type="spellEnd"/>
      <w:r w:rsidRPr="00CF6B0A">
        <w:rPr>
          <w:rFonts w:ascii="Arial" w:hAnsi="Arial" w:cs="Arial"/>
          <w:b/>
          <w:bCs/>
          <w:color w:val="004289"/>
          <w:sz w:val="24"/>
          <w:szCs w:val="24"/>
          <w:lang w:val="ro-RO"/>
        </w:rPr>
        <w:t xml:space="preserve">” București și cu Fundația </w:t>
      </w:r>
      <w:proofErr w:type="spellStart"/>
      <w:r w:rsidRPr="00CF6B0A">
        <w:rPr>
          <w:rFonts w:ascii="Arial" w:hAnsi="Arial" w:cs="Arial"/>
          <w:b/>
          <w:bCs/>
          <w:color w:val="004289"/>
          <w:sz w:val="24"/>
          <w:szCs w:val="24"/>
          <w:lang w:val="ro-RO"/>
        </w:rPr>
        <w:t>Art</w:t>
      </w:r>
      <w:proofErr w:type="spellEnd"/>
      <w:r w:rsidRPr="00CF6B0A">
        <w:rPr>
          <w:rFonts w:ascii="Arial" w:hAnsi="Arial" w:cs="Arial"/>
          <w:b/>
          <w:bCs/>
          <w:color w:val="004289"/>
          <w:sz w:val="24"/>
          <w:szCs w:val="24"/>
          <w:lang w:val="ro-RO"/>
        </w:rPr>
        <w:t xml:space="preserve"> for </w:t>
      </w:r>
      <w:proofErr w:type="spellStart"/>
      <w:r w:rsidRPr="00CF6B0A">
        <w:rPr>
          <w:rFonts w:ascii="Arial" w:hAnsi="Arial" w:cs="Arial"/>
          <w:b/>
          <w:bCs/>
          <w:color w:val="004289"/>
          <w:sz w:val="24"/>
          <w:szCs w:val="24"/>
          <w:lang w:val="ro-RO"/>
        </w:rPr>
        <w:t>Change</w:t>
      </w:r>
      <w:proofErr w:type="spellEnd"/>
      <w:r w:rsidRPr="00CF6B0A">
        <w:rPr>
          <w:rFonts w:ascii="Arial" w:hAnsi="Arial" w:cs="Arial"/>
          <w:b/>
          <w:bCs/>
          <w:color w:val="004289"/>
          <w:sz w:val="24"/>
          <w:szCs w:val="24"/>
          <w:lang w:val="ro-RO"/>
        </w:rPr>
        <w:t xml:space="preserve">, Norvegia, implementează  „Zest4Edu –O nouă perspectivă în educație”, proiect </w:t>
      </w:r>
      <w:proofErr w:type="spellStart"/>
      <w:r w:rsidRPr="00CF6B0A">
        <w:rPr>
          <w:rFonts w:ascii="Arial" w:hAnsi="Arial" w:cs="Arial"/>
          <w:b/>
          <w:bCs/>
          <w:color w:val="004289"/>
          <w:sz w:val="24"/>
          <w:szCs w:val="24"/>
          <w:lang w:val="ro-RO"/>
        </w:rPr>
        <w:t>finațat</w:t>
      </w:r>
      <w:proofErr w:type="spellEnd"/>
      <w:r w:rsidRPr="00CF6B0A">
        <w:rPr>
          <w:rFonts w:ascii="Arial" w:hAnsi="Arial" w:cs="Arial"/>
          <w:b/>
          <w:bCs/>
          <w:color w:val="004289"/>
          <w:sz w:val="24"/>
          <w:szCs w:val="24"/>
          <w:lang w:val="ro-RO"/>
        </w:rPr>
        <w:t xml:space="preserve"> prin Granturile SEE și Norvegiene 2014-2021. În cadrul proiectului demarează activitatea de selecție a celor 200 de membri ai  Grupului țintă secundar (GTS2), personal din educație (personal didactic, personal didactic auxiliar, cadre manageriale și personal administrativ, consilieri școlari ș. a), care lucrează cu copiii și tinerii din grupul țintă principal</w:t>
      </w:r>
    </w:p>
    <w:p w14:paraId="07A69C7B" w14:textId="77777777" w:rsidR="000B46D4" w:rsidRPr="00CF6B0A" w:rsidRDefault="000B46D4" w:rsidP="000B46D4">
      <w:pPr>
        <w:jc w:val="both"/>
        <w:rPr>
          <w:rFonts w:ascii="Arial" w:hAnsi="Arial" w:cs="Arial"/>
          <w:lang w:val="ro-RO"/>
        </w:rPr>
      </w:pPr>
      <w:r w:rsidRPr="00CF6B0A">
        <w:rPr>
          <w:rFonts w:ascii="Arial" w:hAnsi="Arial" w:cs="Arial"/>
          <w:lang w:val="ro-RO"/>
        </w:rPr>
        <w:t xml:space="preserve">Proiectul </w:t>
      </w:r>
      <w:bookmarkStart w:id="0" w:name="_Hlk62027830"/>
      <w:r w:rsidRPr="00CF6B0A">
        <w:rPr>
          <w:rFonts w:ascii="Arial" w:hAnsi="Arial" w:cs="Arial"/>
          <w:lang w:val="ro-RO"/>
        </w:rPr>
        <w:t xml:space="preserve">„Zest4Edu –O nouă perspectivă în educație” </w:t>
      </w:r>
      <w:bookmarkEnd w:id="0"/>
      <w:r w:rsidRPr="00CF6B0A">
        <w:rPr>
          <w:rFonts w:ascii="Arial" w:hAnsi="Arial" w:cs="Arial"/>
          <w:lang w:val="ro-RO"/>
        </w:rPr>
        <w:t>este finanțat de către Fondul Român de Dezvoltare Socială (OP), în calitate de Operator de Program pentru ”Programul Dezvoltare locală, reducerea sărăciei și creșterea incluziunii romilor” și are un buget total de 5.464.478,93 lei, din care 4.644.807,09 grant norvegian (85%) și 819.671,84 lei cofinanțare națională (15%) și o durată de 30 de luni.</w:t>
      </w:r>
    </w:p>
    <w:p w14:paraId="1DCDDEA5" w14:textId="77777777" w:rsidR="000B46D4" w:rsidRPr="00CF6B0A" w:rsidRDefault="000B46D4" w:rsidP="000B46D4">
      <w:pPr>
        <w:jc w:val="both"/>
        <w:rPr>
          <w:rFonts w:ascii="Arial" w:hAnsi="Arial" w:cs="Arial"/>
          <w:lang w:val="ro-RO"/>
        </w:rPr>
      </w:pPr>
      <w:r w:rsidRPr="00CF6B0A">
        <w:rPr>
          <w:rFonts w:ascii="Arial" w:hAnsi="Arial" w:cs="Arial"/>
          <w:lang w:val="ro-RO"/>
        </w:rPr>
        <w:t>Finanțarea acordată în cadrul Proiectului are ca scop creșterea gradului de incluziune socială a elevilor și a accesului la  o  educație  de  calitate,  echitabilă și  incluzivă în  județele  Prahova și  Neamț prin  măsuri specifice  de  care  vor beneficia peste  650  elevi  aflați în  situație  de  risc  din  19 școli, 200 părinți/tutori și membri ai familiilor acestora, 200 de membri ai personalului didactic și 100 de persoane din alte grupuri secundare  (elevi,  părinți,  alți  membri  ai  comunității), contribuind  astfel  pe  termen  lung  la  creșterea inteligentă și incluzivă a României.</w:t>
      </w:r>
    </w:p>
    <w:p w14:paraId="7DE3301C" w14:textId="77777777" w:rsidR="000B46D4" w:rsidRPr="00CF6B0A" w:rsidRDefault="000B46D4" w:rsidP="000B46D4">
      <w:pPr>
        <w:rPr>
          <w:rFonts w:ascii="Arial" w:hAnsi="Arial" w:cs="Arial"/>
          <w:lang w:val="ro-RO"/>
        </w:rPr>
      </w:pPr>
      <w:r w:rsidRPr="00CF6B0A">
        <w:rPr>
          <w:rFonts w:ascii="Arial" w:hAnsi="Arial" w:cs="Arial"/>
          <w:lang w:val="ro-RO"/>
        </w:rPr>
        <w:t xml:space="preserve">Obiectivele specifice ale proiectului: </w:t>
      </w:r>
    </w:p>
    <w:p w14:paraId="0FB9B004" w14:textId="77777777" w:rsidR="000B46D4" w:rsidRPr="00CF6B0A" w:rsidRDefault="000B46D4" w:rsidP="000B46D4">
      <w:pPr>
        <w:jc w:val="both"/>
        <w:rPr>
          <w:rFonts w:ascii="Arial" w:hAnsi="Arial" w:cs="Arial"/>
          <w:lang w:val="ro-RO"/>
        </w:rPr>
      </w:pPr>
      <w:r w:rsidRPr="00CF6B0A">
        <w:rPr>
          <w:rFonts w:ascii="Arial" w:hAnsi="Arial" w:cs="Arial"/>
          <w:lang w:val="ro-RO"/>
        </w:rPr>
        <w:t xml:space="preserve">OS1: Combaterea si prevenirea abandonului școlar/părăsirii timpurii a scolii si îmbunătățirea retenției in sistemul educațional prin îmbunătățirea participării școlare a minim 40% din elevii din grupul țintă principal cu 10% si creșterea ratei de tranziție in învățământul secundar superior (ISCED 3) cu min. 1% la finalul proiectului, fata de situația inițială colectata la începutul proiectului, in 19 scoli din județele Neamț si Prahova, ca urmare a sprijinului integrat primit prin proiect: dotări, activități si suport material pentru 650 de elevi (din care 60 cu CES), activități pentru 200 de cadre didactice, informare, consiliere, educație parentala cu 200 de părinți desfășurate pe o durata de 2 ani școlari. </w:t>
      </w:r>
    </w:p>
    <w:p w14:paraId="61A23715" w14:textId="77777777" w:rsidR="000B46D4" w:rsidRPr="00CF6B0A" w:rsidRDefault="000B46D4" w:rsidP="000B46D4">
      <w:pPr>
        <w:jc w:val="both"/>
        <w:rPr>
          <w:rFonts w:ascii="Arial" w:hAnsi="Arial" w:cs="Arial"/>
          <w:lang w:val="ro-RO"/>
        </w:rPr>
      </w:pPr>
      <w:r w:rsidRPr="00CF6B0A">
        <w:rPr>
          <w:rFonts w:ascii="Arial" w:hAnsi="Arial" w:cs="Arial"/>
          <w:lang w:val="ro-RO"/>
        </w:rPr>
        <w:t xml:space="preserve">OS2: Creșterea numărului de cadre didactice/personal din educație din școlile țintă instruite cu minim 200 si certificate cu minim 160 in ceea ce privește lucrul cu elevi cu risc de părăsire timpurie a scolii si cu CES prin intermediul programelor de formare purtătoare de credite profesionale transferabile (Evaluarea si dezvoltarea personala a copiilor si elevilor, Strategii de prevenire și combatere a fenomenului </w:t>
      </w:r>
      <w:proofErr w:type="spellStart"/>
      <w:r w:rsidRPr="00CF6B0A">
        <w:rPr>
          <w:rFonts w:ascii="Arial" w:hAnsi="Arial" w:cs="Arial"/>
          <w:lang w:val="ro-RO"/>
        </w:rPr>
        <w:t>Bullying</w:t>
      </w:r>
      <w:proofErr w:type="spellEnd"/>
      <w:r w:rsidRPr="00CF6B0A">
        <w:rPr>
          <w:rFonts w:ascii="Arial" w:hAnsi="Arial" w:cs="Arial"/>
          <w:lang w:val="ro-RO"/>
        </w:rPr>
        <w:t>, Tehnici aplicative in procesul de predare-învățare a copiilor cu CES),  workshop urilor de tip “</w:t>
      </w:r>
      <w:proofErr w:type="spellStart"/>
      <w:r w:rsidRPr="00CF6B0A">
        <w:rPr>
          <w:rFonts w:ascii="Arial" w:hAnsi="Arial" w:cs="Arial"/>
          <w:lang w:val="ro-RO"/>
        </w:rPr>
        <w:t>Affirmative</w:t>
      </w:r>
      <w:proofErr w:type="spellEnd"/>
      <w:r w:rsidRPr="00CF6B0A">
        <w:rPr>
          <w:rFonts w:ascii="Arial" w:hAnsi="Arial" w:cs="Arial"/>
          <w:lang w:val="ro-RO"/>
        </w:rPr>
        <w:t xml:space="preserve"> </w:t>
      </w:r>
      <w:proofErr w:type="spellStart"/>
      <w:r w:rsidRPr="00CF6B0A">
        <w:rPr>
          <w:rFonts w:ascii="Arial" w:hAnsi="Arial" w:cs="Arial"/>
          <w:lang w:val="ro-RO"/>
        </w:rPr>
        <w:t>Art</w:t>
      </w:r>
      <w:proofErr w:type="spellEnd"/>
      <w:r w:rsidRPr="00CF6B0A">
        <w:rPr>
          <w:rFonts w:ascii="Arial" w:hAnsi="Arial" w:cs="Arial"/>
          <w:lang w:val="ro-RO"/>
        </w:rPr>
        <w:t xml:space="preserve">” si activităților de transfer de bune practici cu partenerul din Norvegia, pe o perioada de 2 ani școlari. </w:t>
      </w:r>
    </w:p>
    <w:p w14:paraId="27281239" w14:textId="77777777" w:rsidR="000B46D4" w:rsidRPr="00CF6B0A" w:rsidRDefault="000B46D4" w:rsidP="000B46D4">
      <w:pPr>
        <w:jc w:val="both"/>
        <w:rPr>
          <w:rFonts w:ascii="Arial" w:hAnsi="Arial" w:cs="Arial"/>
          <w:lang w:val="ro-RO"/>
        </w:rPr>
      </w:pPr>
      <w:r w:rsidRPr="00CF6B0A">
        <w:rPr>
          <w:rFonts w:ascii="Arial" w:hAnsi="Arial" w:cs="Arial"/>
          <w:lang w:val="ro-RO"/>
        </w:rPr>
        <w:t xml:space="preserve">OS3: Extinderea vizibilității abordării introduse de Zest4edu si a activităților bilaterale romano-norvegiene, de la nivelul județelor PH si NT cel puțin la nivelul  regiunilor Sud-Muntenia si Nord-Est prin evenimente si schimburi de bune practici(1 conferința națională, 6 campanii de informare si conștientizare pe teme legate de dezvoltare personala, 19 workshop uri de promovare a conceptului de </w:t>
      </w:r>
      <w:proofErr w:type="spellStart"/>
      <w:r w:rsidRPr="00CF6B0A">
        <w:rPr>
          <w:rFonts w:ascii="Arial" w:hAnsi="Arial" w:cs="Arial"/>
          <w:lang w:val="ro-RO"/>
        </w:rPr>
        <w:t>Affirmative</w:t>
      </w:r>
      <w:proofErr w:type="spellEnd"/>
      <w:r w:rsidRPr="00CF6B0A">
        <w:rPr>
          <w:rFonts w:ascii="Arial" w:hAnsi="Arial" w:cs="Arial"/>
          <w:lang w:val="ro-RO"/>
        </w:rPr>
        <w:t xml:space="preserve"> Art,1 schimb de bune practici cu 160 de participanți </w:t>
      </w:r>
      <w:r w:rsidRPr="00CF6B0A">
        <w:rPr>
          <w:rFonts w:ascii="Arial" w:hAnsi="Arial" w:cs="Arial"/>
          <w:lang w:val="ro-RO"/>
        </w:rPr>
        <w:lastRenderedPageBreak/>
        <w:t xml:space="preserve">din Romania si 2 din Norvegia, 19 entități care aplica cunoștințele dobândite in proiect) si 1 studiu de impact al masurilor aplicate in proiect, pana la finalul proiectului. </w:t>
      </w:r>
    </w:p>
    <w:p w14:paraId="474FD645" w14:textId="77777777" w:rsidR="000B46D4" w:rsidRPr="00CF6B0A" w:rsidRDefault="000B46D4" w:rsidP="000B46D4">
      <w:pPr>
        <w:rPr>
          <w:rFonts w:ascii="Arial" w:hAnsi="Arial" w:cs="Arial"/>
          <w:lang w:val="ro-RO"/>
        </w:rPr>
      </w:pPr>
      <w:r w:rsidRPr="00CF6B0A">
        <w:rPr>
          <w:rFonts w:ascii="Arial" w:hAnsi="Arial" w:cs="Arial"/>
          <w:lang w:val="ro-RO"/>
        </w:rPr>
        <w:t>Proiectul vizează următoarele grupuri țintă:</w:t>
      </w:r>
    </w:p>
    <w:p w14:paraId="5CDBEC6E" w14:textId="77777777" w:rsidR="000B46D4" w:rsidRPr="00CF6B0A" w:rsidRDefault="000B46D4" w:rsidP="000B46D4">
      <w:pPr>
        <w:jc w:val="both"/>
        <w:rPr>
          <w:rFonts w:ascii="Arial" w:hAnsi="Arial" w:cs="Arial"/>
          <w:lang w:val="ro-RO"/>
        </w:rPr>
      </w:pPr>
      <w:r w:rsidRPr="00CF6B0A">
        <w:rPr>
          <w:rFonts w:ascii="Arial" w:hAnsi="Arial" w:cs="Arial"/>
          <w:b/>
          <w:bCs/>
          <w:lang w:val="ro-RO"/>
        </w:rPr>
        <w:t>GT principal</w:t>
      </w:r>
      <w:r w:rsidRPr="00CF6B0A">
        <w:rPr>
          <w:rFonts w:ascii="Arial" w:hAnsi="Arial" w:cs="Arial"/>
          <w:lang w:val="ro-RO"/>
        </w:rPr>
        <w:t xml:space="preserve">, alcătuit din 650 de elevi înscriși în clasele a VII-a și a VIII-a în anul școlar 2021-2022, din 19 școli din județele PH și NT, care vor participa la activități în cadrul proiectului și vor fi monitorizați pe parcursul unui an școlar (2021-2022), respectiv a 2 ani școlari (2021-2022 și 2022-2023) și pentru care se va calcula rata de tranziție la cl. IX (ISCED 3), după cum urmează: </w:t>
      </w:r>
    </w:p>
    <w:p w14:paraId="7C0A3038" w14:textId="77777777" w:rsidR="000B46D4" w:rsidRPr="00CF6B0A" w:rsidRDefault="000B46D4" w:rsidP="000B46D4">
      <w:pPr>
        <w:jc w:val="both"/>
        <w:rPr>
          <w:rFonts w:ascii="Arial" w:hAnsi="Arial" w:cs="Arial"/>
          <w:lang w:val="ro-RO"/>
        </w:rPr>
      </w:pPr>
      <w:r w:rsidRPr="00CF6B0A">
        <w:rPr>
          <w:rFonts w:ascii="Arial" w:hAnsi="Arial" w:cs="Arial"/>
          <w:lang w:val="ro-RO"/>
        </w:rPr>
        <w:t xml:space="preserve">590 de copii și tineri în situații de risc de abandon școlar/părăsire timpurie a școlii, cu vârste între 3 și 24 ani, respectiv elevi înscriși în clasele a VII-a și a VIII-a în anul școlar 2021-2022, din dintre care 444 din mediul rural; </w:t>
      </w:r>
    </w:p>
    <w:p w14:paraId="2DE8C2A4" w14:textId="77777777" w:rsidR="000B46D4" w:rsidRPr="00CF6B0A" w:rsidRDefault="000B46D4" w:rsidP="000B46D4">
      <w:pPr>
        <w:jc w:val="both"/>
        <w:rPr>
          <w:rFonts w:ascii="Arial" w:hAnsi="Arial" w:cs="Arial"/>
          <w:lang w:val="ro-RO"/>
        </w:rPr>
      </w:pPr>
      <w:r w:rsidRPr="00CF6B0A">
        <w:rPr>
          <w:rFonts w:ascii="Arial" w:hAnsi="Arial" w:cs="Arial"/>
          <w:lang w:val="ro-RO"/>
        </w:rPr>
        <w:t>60 de copii și tineri cu cerințe educaționale speciale cu vârste între 3 și 24 ani, respectiv elevi înscriși în clasele a VII-a și a VIII-a în anul școlar 2021-2022, dintre care 46 din mediul rural.</w:t>
      </w:r>
    </w:p>
    <w:p w14:paraId="557FCF70" w14:textId="77777777" w:rsidR="000B46D4" w:rsidRPr="00CF6B0A" w:rsidRDefault="000B46D4" w:rsidP="000B46D4">
      <w:pPr>
        <w:rPr>
          <w:rFonts w:ascii="Arial" w:hAnsi="Arial" w:cs="Arial"/>
          <w:b/>
          <w:bCs/>
          <w:lang w:val="ro-RO"/>
        </w:rPr>
      </w:pPr>
      <w:r w:rsidRPr="00CF6B0A">
        <w:rPr>
          <w:rFonts w:ascii="Arial" w:hAnsi="Arial" w:cs="Arial"/>
          <w:b/>
          <w:bCs/>
          <w:lang w:val="ro-RO"/>
        </w:rPr>
        <w:t>GT secundar, alcătuit din:</w:t>
      </w:r>
    </w:p>
    <w:p w14:paraId="2345EEEE" w14:textId="77777777" w:rsidR="000B46D4" w:rsidRPr="00CF6B0A" w:rsidRDefault="000B46D4" w:rsidP="000B46D4">
      <w:pPr>
        <w:jc w:val="both"/>
        <w:rPr>
          <w:rFonts w:ascii="Arial" w:hAnsi="Arial" w:cs="Arial"/>
          <w:lang w:val="ro-RO"/>
        </w:rPr>
      </w:pPr>
      <w:r w:rsidRPr="00CF6B0A">
        <w:rPr>
          <w:rFonts w:ascii="Arial" w:hAnsi="Arial" w:cs="Arial"/>
          <w:lang w:val="ro-RO"/>
        </w:rPr>
        <w:t>părinți/tutori și membri ai familiilor copiilor și tinerilor din grupurile țintă principale, ai elevilor înscriși la cele 19 școli țintă din proiect;</w:t>
      </w:r>
    </w:p>
    <w:p w14:paraId="4CEBE1DF" w14:textId="77777777" w:rsidR="000B46D4" w:rsidRPr="00CF6B0A" w:rsidRDefault="000B46D4" w:rsidP="000B46D4">
      <w:pPr>
        <w:jc w:val="both"/>
        <w:rPr>
          <w:rFonts w:ascii="Arial" w:hAnsi="Arial" w:cs="Arial"/>
          <w:lang w:val="ro-RO"/>
        </w:rPr>
      </w:pPr>
      <w:r w:rsidRPr="00CF6B0A">
        <w:rPr>
          <w:rFonts w:ascii="Arial" w:hAnsi="Arial" w:cs="Arial"/>
          <w:lang w:val="ro-RO"/>
        </w:rPr>
        <w:t xml:space="preserve">personal din educație (personal didactic, personal didactic auxiliar, cadre manageriale și personal administrativ, consilieri școlari </w:t>
      </w:r>
      <w:proofErr w:type="spellStart"/>
      <w:r w:rsidRPr="00CF6B0A">
        <w:rPr>
          <w:rFonts w:ascii="Arial" w:hAnsi="Arial" w:cs="Arial"/>
          <w:lang w:val="ro-RO"/>
        </w:rPr>
        <w:t>ș.a</w:t>
      </w:r>
      <w:proofErr w:type="spellEnd"/>
      <w:r w:rsidRPr="00CF6B0A">
        <w:rPr>
          <w:rFonts w:ascii="Arial" w:hAnsi="Arial" w:cs="Arial"/>
          <w:lang w:val="ro-RO"/>
        </w:rPr>
        <w:t xml:space="preserve">), care lucrează cu copiii și tinerii din grupurile țintă principale, personal încadrat la cele 19 școli țintă din proiect, enumerate la punctul I anterior; </w:t>
      </w:r>
    </w:p>
    <w:p w14:paraId="104517CF" w14:textId="77777777" w:rsidR="000B46D4" w:rsidRPr="00CF6B0A" w:rsidRDefault="000B46D4" w:rsidP="000B46D4">
      <w:pPr>
        <w:jc w:val="both"/>
        <w:rPr>
          <w:rFonts w:ascii="Arial" w:hAnsi="Arial" w:cs="Arial"/>
          <w:lang w:val="ro-RO"/>
        </w:rPr>
      </w:pPr>
      <w:r w:rsidRPr="00CF6B0A">
        <w:rPr>
          <w:rFonts w:ascii="Arial" w:hAnsi="Arial" w:cs="Arial"/>
          <w:lang w:val="ro-RO"/>
        </w:rPr>
        <w:t>alte grupuri țintă secundare din cadrul județelor Prahova și Neamț și în cazuri excepționale, din afara județelor dar din regiunile Sud-Muntenia și Nord-Est, constând în: copii cu vârste între 3-15 ani și tineri cu vârste între 15-24 ani care nu se găsesc în situații de risc, dar care interacționează cu elevii din grupurile țintă principale; părinți ai copiilor și tinerilor care nu sunt selectați în grupul țintă principal, dar care interacționează cu elevii din grupul țintă principal; alți membri ai comunității.</w:t>
      </w:r>
    </w:p>
    <w:p w14:paraId="45AF13FA" w14:textId="77777777" w:rsidR="000B46D4" w:rsidRPr="00CF6B0A" w:rsidRDefault="000B46D4" w:rsidP="000B46D4">
      <w:pPr>
        <w:jc w:val="both"/>
        <w:rPr>
          <w:rFonts w:ascii="Arial" w:hAnsi="Arial" w:cs="Arial"/>
          <w:b/>
          <w:bCs/>
          <w:lang w:val="ro-RO"/>
        </w:rPr>
      </w:pPr>
      <w:r w:rsidRPr="00CF6B0A">
        <w:rPr>
          <w:rFonts w:ascii="Arial" w:hAnsi="Arial" w:cs="Arial"/>
          <w:b/>
          <w:bCs/>
          <w:lang w:val="ro-RO"/>
        </w:rPr>
        <w:t>Calendarul selecției GT secundar, personal din educație (personal didactic, personal didactic auxiliar, cadre manageriale și personal administrativ, consilieri școlari ș. a), care lucrează cu copiii și tinerii din grupul țintă principal – GTS2:</w:t>
      </w:r>
    </w:p>
    <w:p w14:paraId="689E2500" w14:textId="77777777" w:rsidR="000B46D4" w:rsidRPr="00CF6B0A" w:rsidRDefault="000B46D4" w:rsidP="000B46D4">
      <w:pPr>
        <w:jc w:val="both"/>
        <w:rPr>
          <w:rFonts w:ascii="Arial" w:hAnsi="Arial" w:cs="Arial"/>
          <w:lang w:val="ro-RO"/>
        </w:rPr>
      </w:pPr>
      <w:r w:rsidRPr="00CF6B0A">
        <w:rPr>
          <w:rFonts w:ascii="Arial" w:hAnsi="Arial" w:cs="Arial"/>
          <w:lang w:val="ro-RO"/>
        </w:rPr>
        <w:t xml:space="preserve">25 ianuarie 2021 – 3 februarie 2021: înscrierea candidaților din grupul țintă secundar- personal din educație care lucrează cu copiii și tinerii din grupul țintă principal. </w:t>
      </w:r>
    </w:p>
    <w:p w14:paraId="15FE6045" w14:textId="77777777" w:rsidR="000B46D4" w:rsidRPr="00CF6B0A" w:rsidRDefault="000B46D4" w:rsidP="000B46D4">
      <w:pPr>
        <w:jc w:val="both"/>
        <w:rPr>
          <w:rFonts w:ascii="Arial" w:hAnsi="Arial" w:cs="Arial"/>
          <w:lang w:val="ro-RO"/>
        </w:rPr>
      </w:pPr>
      <w:r w:rsidRPr="00CF6B0A">
        <w:rPr>
          <w:rFonts w:ascii="Arial" w:hAnsi="Arial" w:cs="Arial"/>
          <w:lang w:val="ro-RO"/>
        </w:rPr>
        <w:t>4 - 6 februarie 2021: verificarea eligibilității dosarelor depuse;</w:t>
      </w:r>
    </w:p>
    <w:p w14:paraId="13D1576A" w14:textId="65CF8FE5" w:rsidR="000B46D4" w:rsidRPr="00CF6B0A" w:rsidRDefault="000B46D4" w:rsidP="00CF6B0A">
      <w:pPr>
        <w:jc w:val="both"/>
        <w:rPr>
          <w:rFonts w:ascii="Arial" w:hAnsi="Arial" w:cs="Arial"/>
          <w:lang w:val="ro-RO"/>
        </w:rPr>
      </w:pPr>
      <w:r w:rsidRPr="00CF6B0A">
        <w:rPr>
          <w:rFonts w:ascii="Arial" w:hAnsi="Arial" w:cs="Arial"/>
          <w:lang w:val="ro-RO"/>
        </w:rPr>
        <w:t>7 - 12 februarie 2021: evaluarea dosarelor eligibile și selecția membrilor grupului țintă.</w:t>
      </w:r>
    </w:p>
    <w:p w14:paraId="611343CA" w14:textId="77777777" w:rsidR="000B46D4" w:rsidRPr="00CF6B0A" w:rsidRDefault="000B46D4" w:rsidP="000B46D4">
      <w:pPr>
        <w:rPr>
          <w:rFonts w:ascii="Arial" w:hAnsi="Arial" w:cs="Arial"/>
          <w:lang w:val="ro-RO"/>
        </w:rPr>
      </w:pPr>
    </w:p>
    <w:p w14:paraId="3B1C84C2" w14:textId="77777777" w:rsidR="000B46D4" w:rsidRPr="00CF6B0A" w:rsidRDefault="000B46D4" w:rsidP="000B46D4">
      <w:pPr>
        <w:rPr>
          <w:rFonts w:ascii="Arial" w:hAnsi="Arial" w:cs="Arial"/>
          <w:b/>
          <w:bCs/>
          <w:lang w:val="ro-RO"/>
        </w:rPr>
      </w:pPr>
      <w:r w:rsidRPr="00CF6B0A">
        <w:rPr>
          <w:rFonts w:ascii="Arial" w:hAnsi="Arial" w:cs="Arial"/>
          <w:b/>
          <w:bCs/>
          <w:lang w:val="ro-RO"/>
        </w:rPr>
        <w:t>Conținutul dosarului de candidatură</w:t>
      </w:r>
    </w:p>
    <w:p w14:paraId="501DE14A" w14:textId="77777777" w:rsidR="000B46D4" w:rsidRPr="00CF6B0A" w:rsidRDefault="000B46D4" w:rsidP="000B46D4">
      <w:pPr>
        <w:pStyle w:val="Listparagraf"/>
        <w:numPr>
          <w:ilvl w:val="0"/>
          <w:numId w:val="1"/>
        </w:numPr>
        <w:ind w:left="426"/>
        <w:rPr>
          <w:rFonts w:ascii="Arial" w:hAnsi="Arial" w:cs="Arial"/>
        </w:rPr>
      </w:pPr>
      <w:r w:rsidRPr="00CF6B0A">
        <w:rPr>
          <w:rFonts w:ascii="Arial" w:hAnsi="Arial" w:cs="Arial"/>
        </w:rPr>
        <w:t xml:space="preserve">Cerere de înscriere în grupul țintă al proiectului, formular 1 atașat Anexei 5 – Ghid de înscriere grup țintă secundar Personal din educație care lucrează cu copiii și tinerii din GT principale </w:t>
      </w:r>
    </w:p>
    <w:p w14:paraId="2558B36B" w14:textId="77777777" w:rsidR="000B46D4" w:rsidRPr="00CF6B0A" w:rsidRDefault="000B46D4" w:rsidP="000B46D4">
      <w:pPr>
        <w:pStyle w:val="Listparagraf"/>
        <w:numPr>
          <w:ilvl w:val="0"/>
          <w:numId w:val="1"/>
        </w:numPr>
        <w:ind w:left="426"/>
        <w:rPr>
          <w:rFonts w:ascii="Arial" w:hAnsi="Arial" w:cs="Arial"/>
        </w:rPr>
      </w:pPr>
      <w:r w:rsidRPr="00CF6B0A">
        <w:rPr>
          <w:rFonts w:ascii="Arial" w:hAnsi="Arial" w:cs="Arial"/>
        </w:rPr>
        <w:t xml:space="preserve">Formular de înscriere la cursurile de formare continuă (3 exemplare originale - câte un exemplar pentru fiecare program de formare), formular 2 atașat Anexei 5 – Ghid de înscriere grup țintă secundar Personal din educație care lucrează cu copiii și tinerii din GT principale </w:t>
      </w:r>
    </w:p>
    <w:p w14:paraId="56E7DA0D" w14:textId="77777777" w:rsidR="000B46D4" w:rsidRPr="00CF6B0A" w:rsidRDefault="000B46D4" w:rsidP="000B46D4">
      <w:pPr>
        <w:pStyle w:val="Listparagraf"/>
        <w:numPr>
          <w:ilvl w:val="0"/>
          <w:numId w:val="1"/>
        </w:numPr>
        <w:ind w:left="426"/>
        <w:rPr>
          <w:rFonts w:ascii="Arial" w:hAnsi="Arial" w:cs="Arial"/>
        </w:rPr>
      </w:pPr>
      <w:r w:rsidRPr="00CF6B0A">
        <w:rPr>
          <w:rFonts w:ascii="Arial" w:hAnsi="Arial" w:cs="Arial"/>
        </w:rPr>
        <w:lastRenderedPageBreak/>
        <w:t xml:space="preserve">Declarație de angajament și disponibilitate față de activitățile proiectului, formular 3 atașat Anexei 5 – Ghid de înscriere grup țintă secundar Personal din educație care lucrează cu copiii și tinerii din GT principale </w:t>
      </w:r>
    </w:p>
    <w:p w14:paraId="17A4F7D2" w14:textId="77777777" w:rsidR="000B46D4" w:rsidRPr="00CF6B0A" w:rsidRDefault="000B46D4" w:rsidP="000B46D4">
      <w:pPr>
        <w:pStyle w:val="Listparagraf"/>
        <w:numPr>
          <w:ilvl w:val="0"/>
          <w:numId w:val="1"/>
        </w:numPr>
        <w:ind w:left="426"/>
        <w:rPr>
          <w:rFonts w:ascii="Arial" w:hAnsi="Arial" w:cs="Arial"/>
        </w:rPr>
      </w:pPr>
      <w:r w:rsidRPr="00CF6B0A">
        <w:rPr>
          <w:rFonts w:ascii="Arial" w:hAnsi="Arial" w:cs="Arial"/>
        </w:rPr>
        <w:t xml:space="preserve">Consimțământ privind prelucrarea datelor cu caracter personal la nivel de proiect, formular 4 atașat Anexei 5 – Ghid de înscriere grup țintă secundar Personal din educație care lucrează cu copiii și tinerii din GT principale </w:t>
      </w:r>
    </w:p>
    <w:p w14:paraId="2EC3F7A0" w14:textId="77777777" w:rsidR="000B46D4" w:rsidRPr="00CF6B0A" w:rsidRDefault="000B46D4" w:rsidP="000B46D4">
      <w:pPr>
        <w:pStyle w:val="Listparagraf"/>
        <w:numPr>
          <w:ilvl w:val="0"/>
          <w:numId w:val="1"/>
        </w:numPr>
        <w:ind w:left="426"/>
        <w:rPr>
          <w:rFonts w:ascii="Arial" w:hAnsi="Arial" w:cs="Arial"/>
        </w:rPr>
      </w:pPr>
      <w:r w:rsidRPr="00CF6B0A">
        <w:rPr>
          <w:rFonts w:ascii="Arial" w:hAnsi="Arial" w:cs="Arial"/>
        </w:rPr>
        <w:t xml:space="preserve">Declarație de consimțământ privind prelucrarea datelor cu caracter personal de către furnizorul de formare continuă – 3 exemplare (câte una pentru fiecare curs de formare continuă), formular 5 atașat Anexei 5 – Ghid de înscriere grup țintă secundar Personal din educație care lucrează cu copiii și tinerii din GT principale </w:t>
      </w:r>
    </w:p>
    <w:p w14:paraId="2EFF81C7" w14:textId="77777777" w:rsidR="000B46D4" w:rsidRPr="00CF6B0A" w:rsidRDefault="000B46D4" w:rsidP="000B46D4">
      <w:pPr>
        <w:pStyle w:val="Listparagraf"/>
        <w:numPr>
          <w:ilvl w:val="0"/>
          <w:numId w:val="1"/>
        </w:numPr>
        <w:ind w:left="426"/>
        <w:rPr>
          <w:rFonts w:ascii="Arial" w:hAnsi="Arial" w:cs="Arial"/>
        </w:rPr>
      </w:pPr>
      <w:r w:rsidRPr="00CF6B0A">
        <w:rPr>
          <w:rFonts w:ascii="Arial" w:hAnsi="Arial" w:cs="Arial"/>
        </w:rPr>
        <w:t xml:space="preserve">Informare privind prelucrarea datelor cu caracter personal de către furnizorul programelor de formare, formular 6 atașat Anexei 5 – Ghid de înscriere grup țintă secundar Personal din educație care lucrează cu copiii și tinerii din GT principale </w:t>
      </w:r>
    </w:p>
    <w:p w14:paraId="1B22822B" w14:textId="77777777" w:rsidR="000B46D4" w:rsidRPr="00CF6B0A" w:rsidRDefault="000B46D4" w:rsidP="000B46D4">
      <w:pPr>
        <w:pStyle w:val="Listparagraf"/>
        <w:numPr>
          <w:ilvl w:val="0"/>
          <w:numId w:val="1"/>
        </w:numPr>
        <w:ind w:left="426"/>
        <w:rPr>
          <w:rFonts w:ascii="Arial" w:hAnsi="Arial" w:cs="Arial"/>
        </w:rPr>
      </w:pPr>
      <w:r w:rsidRPr="00CF6B0A">
        <w:rPr>
          <w:rFonts w:ascii="Arial" w:hAnsi="Arial" w:cs="Arial"/>
        </w:rPr>
        <w:t xml:space="preserve">Adeverință de la locul de muncă în care să se precizeze funcția ocupată, în original – 3 exemplare originale (câte un exemplar pentru fiecare curs de formare continuă) , formular 7 atașat Anexei 5 – Ghid de înscriere grup țintă secundar Personal din educație care lucrează cu copiii și tinerii din GT principale </w:t>
      </w:r>
    </w:p>
    <w:p w14:paraId="15E85B0E" w14:textId="77777777" w:rsidR="000B46D4" w:rsidRPr="00CF6B0A" w:rsidRDefault="000B46D4" w:rsidP="000B46D4">
      <w:pPr>
        <w:pStyle w:val="Listparagraf"/>
        <w:numPr>
          <w:ilvl w:val="0"/>
          <w:numId w:val="1"/>
        </w:numPr>
        <w:ind w:left="426"/>
        <w:rPr>
          <w:rFonts w:ascii="Arial" w:hAnsi="Arial" w:cs="Arial"/>
        </w:rPr>
      </w:pPr>
      <w:r w:rsidRPr="00CF6B0A">
        <w:rPr>
          <w:rFonts w:ascii="Arial" w:hAnsi="Arial" w:cs="Arial"/>
        </w:rPr>
        <w:t xml:space="preserve">Adeverință individuală/ tabel nominal ori echivalent emise de instituția de învățământ, privind postului deținut, clasa la care este diriginte/profesor, vârsta până la pensionare, încadrarea și domiciliul, interacțiunea cu elevii din grupul țintă  </w:t>
      </w:r>
    </w:p>
    <w:p w14:paraId="0DF9DABE" w14:textId="77777777" w:rsidR="000B46D4" w:rsidRPr="00CF6B0A" w:rsidRDefault="000B46D4" w:rsidP="000B46D4">
      <w:pPr>
        <w:pStyle w:val="Listparagraf"/>
        <w:numPr>
          <w:ilvl w:val="0"/>
          <w:numId w:val="1"/>
        </w:numPr>
        <w:ind w:left="426"/>
        <w:rPr>
          <w:rFonts w:ascii="Arial" w:hAnsi="Arial" w:cs="Arial"/>
        </w:rPr>
      </w:pPr>
      <w:r w:rsidRPr="00CF6B0A">
        <w:rPr>
          <w:rFonts w:ascii="Arial" w:hAnsi="Arial" w:cs="Arial"/>
        </w:rPr>
        <w:t xml:space="preserve">Copie CI, conform cu originalul – 4 exemplare (una pentru proiect și câte una pentru fiecare curs de formare continuă) </w:t>
      </w:r>
    </w:p>
    <w:p w14:paraId="45495668" w14:textId="77777777" w:rsidR="000B46D4" w:rsidRPr="00CF6B0A" w:rsidRDefault="000B46D4" w:rsidP="000B46D4">
      <w:pPr>
        <w:pStyle w:val="Listparagraf"/>
        <w:numPr>
          <w:ilvl w:val="0"/>
          <w:numId w:val="1"/>
        </w:numPr>
        <w:ind w:left="426"/>
        <w:rPr>
          <w:rFonts w:ascii="Arial" w:hAnsi="Arial" w:cs="Arial"/>
        </w:rPr>
      </w:pPr>
      <w:r w:rsidRPr="00CF6B0A">
        <w:rPr>
          <w:rFonts w:ascii="Arial" w:hAnsi="Arial" w:cs="Arial"/>
        </w:rPr>
        <w:t xml:space="preserve">Copie Certificat de naștere conform cu originalul – 3 exemplare (câte una pentru fiecare curs de formare continuă) </w:t>
      </w:r>
    </w:p>
    <w:p w14:paraId="2984B424" w14:textId="77777777" w:rsidR="000B46D4" w:rsidRPr="00CF6B0A" w:rsidRDefault="000B46D4" w:rsidP="000B46D4">
      <w:pPr>
        <w:pStyle w:val="Listparagraf"/>
        <w:numPr>
          <w:ilvl w:val="0"/>
          <w:numId w:val="1"/>
        </w:numPr>
        <w:ind w:left="426"/>
        <w:rPr>
          <w:rFonts w:ascii="Arial" w:hAnsi="Arial" w:cs="Arial"/>
        </w:rPr>
      </w:pPr>
      <w:r w:rsidRPr="00CF6B0A">
        <w:rPr>
          <w:rFonts w:ascii="Arial" w:hAnsi="Arial" w:cs="Arial"/>
        </w:rPr>
        <w:t xml:space="preserve">Copie Certificat de căsătorie (dovadă schimbare nume, față de diploma de studii), conform cu originalul – 4 exemplare (una pentru proiect și câte una pentru fiecare curs de formare continuă) </w:t>
      </w:r>
    </w:p>
    <w:p w14:paraId="62FF932E" w14:textId="77777777" w:rsidR="000B46D4" w:rsidRPr="00CF6B0A" w:rsidRDefault="000B46D4" w:rsidP="000B46D4">
      <w:pPr>
        <w:pStyle w:val="Listparagraf"/>
        <w:numPr>
          <w:ilvl w:val="0"/>
          <w:numId w:val="1"/>
        </w:numPr>
        <w:ind w:left="426"/>
        <w:rPr>
          <w:rFonts w:ascii="Arial" w:hAnsi="Arial" w:cs="Arial"/>
        </w:rPr>
      </w:pPr>
      <w:r w:rsidRPr="00CF6B0A">
        <w:rPr>
          <w:rFonts w:ascii="Arial" w:hAnsi="Arial" w:cs="Arial"/>
        </w:rPr>
        <w:t xml:space="preserve">Copie diplomă de licență, conform cu originalul – 3 exemplare (câte una pentru fiecare curs de formare continuă) </w:t>
      </w:r>
    </w:p>
    <w:p w14:paraId="01BE3E35" w14:textId="77777777" w:rsidR="000B46D4" w:rsidRPr="00CF6B0A" w:rsidRDefault="000B46D4" w:rsidP="000B46D4">
      <w:pPr>
        <w:pStyle w:val="Listparagraf"/>
        <w:ind w:left="426"/>
        <w:rPr>
          <w:rFonts w:ascii="Arial" w:hAnsi="Arial" w:cs="Arial"/>
        </w:rPr>
      </w:pPr>
    </w:p>
    <w:p w14:paraId="7A651958" w14:textId="50B69C71" w:rsidR="000B46D4" w:rsidRPr="00CF6B0A" w:rsidRDefault="000B46D4" w:rsidP="000B46D4">
      <w:pPr>
        <w:pStyle w:val="Listparagraf"/>
        <w:ind w:left="0"/>
        <w:rPr>
          <w:rFonts w:ascii="Arial" w:hAnsi="Arial" w:cs="Arial"/>
        </w:rPr>
      </w:pPr>
      <w:r w:rsidRPr="00CF6B0A">
        <w:rPr>
          <w:rFonts w:ascii="Arial" w:hAnsi="Arial" w:cs="Arial"/>
        </w:rPr>
        <w:t>GT va beneficia de următoarele programe de formare/ateliere:</w:t>
      </w:r>
    </w:p>
    <w:p w14:paraId="138A379D" w14:textId="77777777" w:rsidR="000B46D4" w:rsidRPr="00CF6B0A" w:rsidRDefault="000B46D4" w:rsidP="000B46D4">
      <w:pPr>
        <w:pStyle w:val="Listparagraf"/>
        <w:rPr>
          <w:rFonts w:ascii="Arial" w:hAnsi="Arial" w:cs="Arial"/>
        </w:rPr>
      </w:pPr>
    </w:p>
    <w:p w14:paraId="38844925" w14:textId="77777777" w:rsidR="000B46D4" w:rsidRPr="00CF6B0A" w:rsidRDefault="000B46D4" w:rsidP="00CF6B0A">
      <w:pPr>
        <w:pStyle w:val="Listparagraf"/>
        <w:numPr>
          <w:ilvl w:val="0"/>
          <w:numId w:val="3"/>
        </w:numPr>
        <w:rPr>
          <w:rFonts w:ascii="Arial" w:hAnsi="Arial" w:cs="Arial"/>
        </w:rPr>
      </w:pPr>
      <w:r w:rsidRPr="00CF6B0A">
        <w:rPr>
          <w:rFonts w:ascii="Arial" w:hAnsi="Arial" w:cs="Arial"/>
        </w:rPr>
        <w:t xml:space="preserve">Evaluarea și dezvoltarea personală a copiilor și elevilor,90 de ore: formarea de competențe în domeniul dezvoltării  personale care va </w:t>
      </w:r>
      <w:proofErr w:type="spellStart"/>
      <w:r w:rsidRPr="00CF6B0A">
        <w:rPr>
          <w:rFonts w:ascii="Arial" w:hAnsi="Arial" w:cs="Arial"/>
        </w:rPr>
        <w:t>impacta</w:t>
      </w:r>
      <w:proofErr w:type="spellEnd"/>
      <w:r w:rsidRPr="00CF6B0A">
        <w:rPr>
          <w:rFonts w:ascii="Arial" w:hAnsi="Arial" w:cs="Arial"/>
        </w:rPr>
        <w:t xml:space="preserve"> semnificativ și relația profesor-elev. Acesta va contribui la dezvoltarea  dimensiunilor rațional-intelectivă, afectivă, motivațională, atitudinală și socială a elevilor care vor lua contact cu cadre didactice mult mai pregătite și cu competențe superioare în derularea activității didactice. </w:t>
      </w:r>
    </w:p>
    <w:p w14:paraId="45F6D261" w14:textId="77777777" w:rsidR="000B46D4" w:rsidRPr="00CF6B0A" w:rsidRDefault="000B46D4" w:rsidP="000B46D4">
      <w:pPr>
        <w:pStyle w:val="Listparagraf"/>
        <w:ind w:left="0"/>
        <w:rPr>
          <w:rFonts w:ascii="Arial" w:hAnsi="Arial" w:cs="Arial"/>
        </w:rPr>
      </w:pPr>
    </w:p>
    <w:p w14:paraId="28F1A716" w14:textId="77777777" w:rsidR="000B46D4" w:rsidRPr="00CF6B0A" w:rsidRDefault="000B46D4" w:rsidP="00CF6B0A">
      <w:pPr>
        <w:pStyle w:val="Listparagraf"/>
        <w:numPr>
          <w:ilvl w:val="0"/>
          <w:numId w:val="3"/>
        </w:numPr>
        <w:rPr>
          <w:rFonts w:ascii="Arial" w:hAnsi="Arial" w:cs="Arial"/>
        </w:rPr>
      </w:pPr>
      <w:r w:rsidRPr="00CF6B0A">
        <w:rPr>
          <w:rFonts w:ascii="Arial" w:hAnsi="Arial" w:cs="Arial"/>
        </w:rPr>
        <w:t xml:space="preserve">Strategii de prevenire și combatere a fenomenului </w:t>
      </w:r>
      <w:proofErr w:type="spellStart"/>
      <w:r w:rsidRPr="00CF6B0A">
        <w:rPr>
          <w:rFonts w:ascii="Arial" w:hAnsi="Arial" w:cs="Arial"/>
        </w:rPr>
        <w:t>bullying</w:t>
      </w:r>
      <w:proofErr w:type="spellEnd"/>
      <w:r w:rsidRPr="00CF6B0A">
        <w:rPr>
          <w:rFonts w:ascii="Arial" w:hAnsi="Arial" w:cs="Arial"/>
        </w:rPr>
        <w:t xml:space="preserve">, 90 de ore: contribuie la familiarizarea cadrelor didactice cu dimensiunile conceptuale ale fenomenului de </w:t>
      </w:r>
      <w:proofErr w:type="spellStart"/>
      <w:r w:rsidRPr="00CF6B0A">
        <w:rPr>
          <w:rFonts w:ascii="Arial" w:hAnsi="Arial" w:cs="Arial"/>
        </w:rPr>
        <w:t>bullying</w:t>
      </w:r>
      <w:proofErr w:type="spellEnd"/>
      <w:r w:rsidRPr="00CF6B0A">
        <w:rPr>
          <w:rFonts w:ascii="Arial" w:hAnsi="Arial" w:cs="Arial"/>
        </w:rPr>
        <w:t xml:space="preserve">, permite accesul la informații despre formele de manifestare, strategii pentru identificarea timpurie și intervenția adecvată, asigurând dobândirea de competențe </w:t>
      </w:r>
      <w:proofErr w:type="spellStart"/>
      <w:r w:rsidRPr="00CF6B0A">
        <w:rPr>
          <w:rFonts w:ascii="Arial" w:hAnsi="Arial" w:cs="Arial"/>
        </w:rPr>
        <w:t>pt</w:t>
      </w:r>
      <w:proofErr w:type="spellEnd"/>
      <w:r w:rsidRPr="00CF6B0A">
        <w:rPr>
          <w:rFonts w:ascii="Arial" w:hAnsi="Arial" w:cs="Arial"/>
        </w:rPr>
        <w:t xml:space="preserve"> prevenirea și lupta împotriva unui fenomen tot mai răspândit. </w:t>
      </w:r>
    </w:p>
    <w:p w14:paraId="59A3B448" w14:textId="77777777" w:rsidR="000B46D4" w:rsidRPr="00CF6B0A" w:rsidRDefault="000B46D4" w:rsidP="000B46D4">
      <w:pPr>
        <w:pStyle w:val="Listparagraf"/>
        <w:ind w:left="0"/>
        <w:rPr>
          <w:rFonts w:ascii="Arial" w:hAnsi="Arial" w:cs="Arial"/>
        </w:rPr>
      </w:pPr>
    </w:p>
    <w:p w14:paraId="78481E52" w14:textId="77777777" w:rsidR="000B46D4" w:rsidRPr="00CF6B0A" w:rsidRDefault="000B46D4" w:rsidP="00CF6B0A">
      <w:pPr>
        <w:pStyle w:val="Listparagraf"/>
        <w:numPr>
          <w:ilvl w:val="0"/>
          <w:numId w:val="3"/>
        </w:numPr>
        <w:rPr>
          <w:rFonts w:ascii="Arial" w:hAnsi="Arial" w:cs="Arial"/>
        </w:rPr>
      </w:pPr>
      <w:r w:rsidRPr="00CF6B0A">
        <w:rPr>
          <w:rFonts w:ascii="Arial" w:hAnsi="Arial" w:cs="Arial"/>
        </w:rPr>
        <w:t xml:space="preserve">Tehnici aplicative in procesul de predare-învățare a copiilor cu CES,90 de ore răspunde nevoii GT de a deprinde modalități utile de adaptare la nevoie particulare ale </w:t>
      </w:r>
      <w:r w:rsidRPr="00CF6B0A">
        <w:rPr>
          <w:rFonts w:ascii="Arial" w:hAnsi="Arial" w:cs="Arial"/>
        </w:rPr>
        <w:lastRenderedPageBreak/>
        <w:t xml:space="preserve">fiecărui elev, mai ales al copiilor cu CES. Astfel, prin integrarea copiilor cu CES se aplica principiul educației(egale)pentru toți, se promovează democrația și respectarea drepturilor omului, într-un mediu de învățare care recunoaște nevoile de învățare și sociale ale fiecăruia. O data cu adaptarea stilurilor de predare la nevoile specifice ale elevilor cu CES, aceștia dobândesc competențe adecvate, încredere în sine și gândire critică si își vor îmbunătăți șansele de angajare pe piața muncii. </w:t>
      </w:r>
    </w:p>
    <w:p w14:paraId="01C02CC6" w14:textId="77777777" w:rsidR="000B46D4" w:rsidRPr="00CF6B0A" w:rsidRDefault="000B46D4" w:rsidP="000B46D4">
      <w:pPr>
        <w:pStyle w:val="Listparagraf"/>
        <w:ind w:left="0"/>
        <w:rPr>
          <w:rFonts w:ascii="Arial" w:hAnsi="Arial" w:cs="Arial"/>
        </w:rPr>
      </w:pPr>
    </w:p>
    <w:p w14:paraId="44825A82" w14:textId="77777777" w:rsidR="000B46D4" w:rsidRPr="00CF6B0A" w:rsidRDefault="000B46D4" w:rsidP="00CF6B0A">
      <w:pPr>
        <w:pStyle w:val="Listparagraf"/>
        <w:numPr>
          <w:ilvl w:val="0"/>
          <w:numId w:val="3"/>
        </w:numPr>
        <w:rPr>
          <w:rFonts w:ascii="Arial" w:hAnsi="Arial" w:cs="Arial"/>
        </w:rPr>
      </w:pPr>
      <w:r w:rsidRPr="00CF6B0A">
        <w:rPr>
          <w:rFonts w:ascii="Arial" w:hAnsi="Arial" w:cs="Arial"/>
        </w:rPr>
        <w:t xml:space="preserve">Ateliere de </w:t>
      </w:r>
      <w:proofErr w:type="spellStart"/>
      <w:r w:rsidRPr="00CF6B0A">
        <w:rPr>
          <w:rFonts w:ascii="Arial" w:hAnsi="Arial" w:cs="Arial"/>
        </w:rPr>
        <w:t>Affirmative</w:t>
      </w:r>
      <w:proofErr w:type="spellEnd"/>
      <w:r w:rsidRPr="00CF6B0A">
        <w:rPr>
          <w:rFonts w:ascii="Arial" w:hAnsi="Arial" w:cs="Arial"/>
        </w:rPr>
        <w:t xml:space="preserve"> </w:t>
      </w:r>
      <w:proofErr w:type="spellStart"/>
      <w:r w:rsidRPr="00CF6B0A">
        <w:rPr>
          <w:rFonts w:ascii="Arial" w:hAnsi="Arial" w:cs="Arial"/>
        </w:rPr>
        <w:t>Art</w:t>
      </w:r>
      <w:proofErr w:type="spellEnd"/>
      <w:r w:rsidRPr="00CF6B0A">
        <w:rPr>
          <w:rFonts w:ascii="Arial" w:hAnsi="Arial" w:cs="Arial"/>
        </w:rPr>
        <w:t xml:space="preserve"> împreuna cu experții P3 (1 zi) </w:t>
      </w:r>
    </w:p>
    <w:p w14:paraId="57D6F802" w14:textId="77777777" w:rsidR="000B46D4" w:rsidRPr="00CF6B0A" w:rsidRDefault="000B46D4" w:rsidP="000B46D4">
      <w:pPr>
        <w:pStyle w:val="Listparagraf"/>
        <w:ind w:left="0"/>
        <w:rPr>
          <w:rFonts w:ascii="Arial" w:hAnsi="Arial" w:cs="Arial"/>
        </w:rPr>
      </w:pPr>
    </w:p>
    <w:p w14:paraId="6CF539D8" w14:textId="77777777" w:rsidR="000B46D4" w:rsidRPr="00CF6B0A" w:rsidRDefault="000B46D4" w:rsidP="000B46D4">
      <w:pPr>
        <w:pStyle w:val="Listparagraf"/>
        <w:ind w:left="0"/>
        <w:rPr>
          <w:rFonts w:ascii="Arial" w:hAnsi="Arial" w:cs="Arial"/>
        </w:rPr>
      </w:pPr>
      <w:r w:rsidRPr="00CF6B0A">
        <w:rPr>
          <w:rFonts w:ascii="Arial" w:hAnsi="Arial" w:cs="Arial"/>
        </w:rPr>
        <w:t>În funcție de rezultatele obținute pe parcursul programelor de formare, vor fi selectate maxim 19 de cadre didactice, câte un cadru didactic din fiecare unitate de învățământ, care vor participa la schimburile de bune practici din Norvegia. Selecția se va realiza pe baza dosarelor personale depuse care vor conține dovezi ale aplicării la clasă a cunoștințelor dobândite la cele 3 cursuri si rezultatele obținute, conform unei grile de punctaj publicate. Ulterior, informațiile asimilate în cadrul acestor vizite, vor fi transmise la nivel de unitate școlară și aplicate în procesul educațional.</w:t>
      </w:r>
    </w:p>
    <w:p w14:paraId="16B8FA7F" w14:textId="1E4B438A" w:rsidR="000B46D4" w:rsidRPr="00CF6B0A" w:rsidRDefault="00CF6B0A" w:rsidP="000B46D4">
      <w:pPr>
        <w:rPr>
          <w:rStyle w:val="eop"/>
          <w:rFonts w:ascii="Arial" w:hAnsi="Arial" w:cs="Arial"/>
          <w:color w:val="000000"/>
          <w:shd w:val="clear" w:color="auto" w:fill="FFFFFF"/>
          <w:lang w:val="ro-RO"/>
        </w:rPr>
      </w:pPr>
      <w:r w:rsidRPr="00CF6B0A">
        <w:rPr>
          <w:rStyle w:val="normaltextrun"/>
          <w:rFonts w:ascii="Arial" w:hAnsi="Arial" w:cs="Arial"/>
          <w:color w:val="000000"/>
          <w:shd w:val="clear" w:color="auto" w:fill="FFFFFF"/>
          <w:lang w:val="ro-RO"/>
        </w:rPr>
        <w:t>O</w:t>
      </w:r>
      <w:r w:rsidR="000B46D4" w:rsidRPr="00CF6B0A">
        <w:rPr>
          <w:rStyle w:val="normaltextrun"/>
          <w:rFonts w:ascii="Arial" w:hAnsi="Arial" w:cs="Arial"/>
          <w:color w:val="000000"/>
          <w:shd w:val="clear" w:color="auto" w:fill="FFFFFF"/>
          <w:lang w:val="ro-RO"/>
        </w:rPr>
        <w:t>bligațiile celor selectați</w:t>
      </w:r>
      <w:r w:rsidRPr="00CF6B0A">
        <w:rPr>
          <w:rStyle w:val="normaltextrun"/>
          <w:rFonts w:ascii="Arial" w:hAnsi="Arial" w:cs="Arial"/>
          <w:color w:val="000000"/>
          <w:shd w:val="clear" w:color="auto" w:fill="FFFFFF"/>
          <w:lang w:val="ro-RO"/>
        </w:rPr>
        <w:t>,</w:t>
      </w:r>
      <w:r w:rsidR="000B46D4" w:rsidRPr="00CF6B0A">
        <w:rPr>
          <w:rStyle w:val="normaltextrun"/>
          <w:rFonts w:ascii="Arial" w:hAnsi="Arial" w:cs="Arial"/>
          <w:color w:val="000000"/>
          <w:shd w:val="clear" w:color="auto" w:fill="FFFFFF"/>
          <w:lang w:val="ro-RO"/>
        </w:rPr>
        <w:t xml:space="preserve"> pe parcursul proiectului și după terminarea acestuia</w:t>
      </w:r>
      <w:r w:rsidRPr="00CF6B0A">
        <w:rPr>
          <w:rStyle w:val="normaltextrun"/>
          <w:rFonts w:ascii="Arial" w:hAnsi="Arial" w:cs="Arial"/>
          <w:color w:val="000000"/>
          <w:shd w:val="clear" w:color="auto" w:fill="FFFFFF"/>
          <w:lang w:val="ro-RO"/>
        </w:rPr>
        <w:t>:</w:t>
      </w:r>
    </w:p>
    <w:p w14:paraId="55C443F0" w14:textId="77777777" w:rsidR="00CF6B0A" w:rsidRDefault="00CF6B0A" w:rsidP="00CF6B0A">
      <w:pPr>
        <w:pStyle w:val="Listparagraf"/>
        <w:numPr>
          <w:ilvl w:val="0"/>
          <w:numId w:val="2"/>
        </w:numPr>
        <w:rPr>
          <w:rFonts w:ascii="Arial" w:hAnsi="Arial" w:cs="Arial"/>
        </w:rPr>
      </w:pPr>
      <w:r>
        <w:rPr>
          <w:rFonts w:ascii="Arial" w:hAnsi="Arial" w:cs="Arial"/>
        </w:rPr>
        <w:t>respectarea</w:t>
      </w:r>
      <w:r w:rsidRPr="00CF6B0A">
        <w:rPr>
          <w:rFonts w:ascii="Arial" w:hAnsi="Arial" w:cs="Arial"/>
        </w:rPr>
        <w:t xml:space="preserve"> prevederil</w:t>
      </w:r>
      <w:r>
        <w:rPr>
          <w:rFonts w:ascii="Arial" w:hAnsi="Arial" w:cs="Arial"/>
        </w:rPr>
        <w:t>or</w:t>
      </w:r>
      <w:r w:rsidRPr="00CF6B0A">
        <w:rPr>
          <w:rFonts w:ascii="Arial" w:hAnsi="Arial" w:cs="Arial"/>
        </w:rPr>
        <w:t xml:space="preserve"> metodologiei de selecție;</w:t>
      </w:r>
    </w:p>
    <w:p w14:paraId="650415E4" w14:textId="77777777" w:rsidR="00CF6B0A" w:rsidRDefault="00CF6B0A" w:rsidP="00CF6B0A">
      <w:pPr>
        <w:pStyle w:val="Listparagraf"/>
        <w:numPr>
          <w:ilvl w:val="0"/>
          <w:numId w:val="2"/>
        </w:numPr>
        <w:rPr>
          <w:rFonts w:ascii="Arial" w:hAnsi="Arial" w:cs="Arial"/>
        </w:rPr>
      </w:pPr>
      <w:r w:rsidRPr="00CF6B0A">
        <w:rPr>
          <w:rFonts w:ascii="Arial" w:hAnsi="Arial" w:cs="Arial"/>
        </w:rPr>
        <w:t>particip</w:t>
      </w:r>
      <w:r>
        <w:rPr>
          <w:rFonts w:ascii="Arial" w:hAnsi="Arial" w:cs="Arial"/>
        </w:rPr>
        <w:t>area</w:t>
      </w:r>
      <w:r w:rsidRPr="00CF6B0A">
        <w:rPr>
          <w:rFonts w:ascii="Arial" w:hAnsi="Arial" w:cs="Arial"/>
        </w:rPr>
        <w:t xml:space="preserve"> la toate cele 3 programele de formare Evaluarea și dezvoltarea personală a copiilor și elevilor, Strategii de prevenire și combatere a fenomenului </w:t>
      </w:r>
      <w:proofErr w:type="spellStart"/>
      <w:r w:rsidRPr="00CF6B0A">
        <w:rPr>
          <w:rFonts w:ascii="Arial" w:hAnsi="Arial" w:cs="Arial"/>
        </w:rPr>
        <w:t>bullying</w:t>
      </w:r>
      <w:proofErr w:type="spellEnd"/>
      <w:r w:rsidRPr="00CF6B0A">
        <w:rPr>
          <w:rFonts w:ascii="Arial" w:hAnsi="Arial" w:cs="Arial"/>
        </w:rPr>
        <w:t xml:space="preserve"> și Tehnici aplicative în procesul de predare-învățare a copiilor cu CES respectiv la </w:t>
      </w:r>
      <w:proofErr w:type="spellStart"/>
      <w:r w:rsidRPr="00CF6B0A">
        <w:rPr>
          <w:rFonts w:ascii="Arial" w:hAnsi="Arial" w:cs="Arial"/>
        </w:rPr>
        <w:t>workshopul</w:t>
      </w:r>
      <w:proofErr w:type="spellEnd"/>
      <w:r w:rsidRPr="00CF6B0A">
        <w:rPr>
          <w:rFonts w:ascii="Arial" w:hAnsi="Arial" w:cs="Arial"/>
        </w:rPr>
        <w:t xml:space="preserve"> “</w:t>
      </w:r>
      <w:proofErr w:type="spellStart"/>
      <w:r w:rsidRPr="00CF6B0A">
        <w:rPr>
          <w:rFonts w:ascii="Arial" w:hAnsi="Arial" w:cs="Arial"/>
        </w:rPr>
        <w:t>Affirmative</w:t>
      </w:r>
      <w:proofErr w:type="spellEnd"/>
      <w:r w:rsidRPr="00CF6B0A">
        <w:rPr>
          <w:rFonts w:ascii="Arial" w:hAnsi="Arial" w:cs="Arial"/>
        </w:rPr>
        <w:t xml:space="preserve"> </w:t>
      </w:r>
      <w:proofErr w:type="spellStart"/>
      <w:r w:rsidRPr="00CF6B0A">
        <w:rPr>
          <w:rFonts w:ascii="Arial" w:hAnsi="Arial" w:cs="Arial"/>
        </w:rPr>
        <w:t>Art</w:t>
      </w:r>
      <w:proofErr w:type="spellEnd"/>
      <w:r w:rsidRPr="00CF6B0A">
        <w:rPr>
          <w:rFonts w:ascii="Arial" w:hAnsi="Arial" w:cs="Arial"/>
        </w:rPr>
        <w:t>”</w:t>
      </w:r>
    </w:p>
    <w:p w14:paraId="07C19F79" w14:textId="77777777" w:rsidR="00CF6B0A" w:rsidRDefault="00CF6B0A" w:rsidP="00CF6B0A">
      <w:pPr>
        <w:pStyle w:val="Listparagraf"/>
        <w:numPr>
          <w:ilvl w:val="0"/>
          <w:numId w:val="2"/>
        </w:numPr>
        <w:rPr>
          <w:rFonts w:ascii="Arial" w:hAnsi="Arial" w:cs="Arial"/>
        </w:rPr>
      </w:pPr>
      <w:r w:rsidRPr="00CF6B0A">
        <w:rPr>
          <w:rFonts w:ascii="Arial" w:hAnsi="Arial" w:cs="Arial"/>
        </w:rPr>
        <w:t>respect</w:t>
      </w:r>
      <w:r>
        <w:rPr>
          <w:rFonts w:ascii="Arial" w:hAnsi="Arial" w:cs="Arial"/>
        </w:rPr>
        <w:t>area</w:t>
      </w:r>
      <w:r w:rsidRPr="00CF6B0A">
        <w:rPr>
          <w:rFonts w:ascii="Arial" w:hAnsi="Arial" w:cs="Arial"/>
        </w:rPr>
        <w:t xml:space="preserve"> cerințel</w:t>
      </w:r>
      <w:r>
        <w:rPr>
          <w:rFonts w:ascii="Arial" w:hAnsi="Arial" w:cs="Arial"/>
        </w:rPr>
        <w:t>or</w:t>
      </w:r>
      <w:r w:rsidRPr="00CF6B0A">
        <w:rPr>
          <w:rFonts w:ascii="Arial" w:hAnsi="Arial" w:cs="Arial"/>
        </w:rPr>
        <w:t xml:space="preserve"> programului și particip</w:t>
      </w:r>
      <w:r>
        <w:rPr>
          <w:rFonts w:ascii="Arial" w:hAnsi="Arial" w:cs="Arial"/>
        </w:rPr>
        <w:t>area</w:t>
      </w:r>
      <w:r w:rsidRPr="00CF6B0A">
        <w:rPr>
          <w:rFonts w:ascii="Arial" w:hAnsi="Arial" w:cs="Arial"/>
        </w:rPr>
        <w:t xml:space="preserve"> consecvent</w:t>
      </w:r>
      <w:r>
        <w:rPr>
          <w:rFonts w:ascii="Arial" w:hAnsi="Arial" w:cs="Arial"/>
        </w:rPr>
        <w:t>ă</w:t>
      </w:r>
      <w:r w:rsidRPr="00CF6B0A">
        <w:rPr>
          <w:rFonts w:ascii="Arial" w:hAnsi="Arial" w:cs="Arial"/>
        </w:rPr>
        <w:t xml:space="preserve"> la toate activitățile specifice;</w:t>
      </w:r>
    </w:p>
    <w:p w14:paraId="5A9CE08F" w14:textId="77777777" w:rsidR="00CF6B0A" w:rsidRDefault="00CF6B0A" w:rsidP="00CF6B0A">
      <w:pPr>
        <w:pStyle w:val="Listparagraf"/>
        <w:numPr>
          <w:ilvl w:val="0"/>
          <w:numId w:val="2"/>
        </w:numPr>
        <w:rPr>
          <w:rFonts w:ascii="Arial" w:hAnsi="Arial" w:cs="Arial"/>
        </w:rPr>
      </w:pPr>
      <w:r w:rsidRPr="00CF6B0A">
        <w:rPr>
          <w:rFonts w:ascii="Arial" w:hAnsi="Arial" w:cs="Arial"/>
        </w:rPr>
        <w:t xml:space="preserve">rămânerea în școala țintă timp de minim 4 semestre consecutive. În caz contrar, în imposibilitatea de a continua activitățile proiectului, se va informa de îndată școala și reprezentanții proiectului; </w:t>
      </w:r>
    </w:p>
    <w:p w14:paraId="61F75610" w14:textId="53650872" w:rsidR="00CF6B0A" w:rsidRDefault="00CF6B0A" w:rsidP="00CF6B0A">
      <w:pPr>
        <w:pStyle w:val="Listparagraf"/>
        <w:numPr>
          <w:ilvl w:val="0"/>
          <w:numId w:val="2"/>
        </w:numPr>
        <w:rPr>
          <w:rFonts w:ascii="Arial" w:hAnsi="Arial" w:cs="Arial"/>
        </w:rPr>
      </w:pPr>
      <w:r w:rsidRPr="00CF6B0A">
        <w:rPr>
          <w:rFonts w:ascii="Arial" w:hAnsi="Arial" w:cs="Arial"/>
        </w:rPr>
        <w:t>nerespectarea angajament</w:t>
      </w:r>
      <w:r>
        <w:rPr>
          <w:rFonts w:ascii="Arial" w:hAnsi="Arial" w:cs="Arial"/>
        </w:rPr>
        <w:t>ului</w:t>
      </w:r>
      <w:r w:rsidRPr="00CF6B0A">
        <w:rPr>
          <w:rFonts w:ascii="Arial" w:hAnsi="Arial" w:cs="Arial"/>
        </w:rPr>
        <w:t xml:space="preserve"> poate duce la eliminarea din grupul țintă secundar al proiectului </w:t>
      </w:r>
      <w:r>
        <w:rPr>
          <w:rFonts w:ascii="Arial" w:hAnsi="Arial" w:cs="Arial"/>
        </w:rPr>
        <w:t>respectiv</w:t>
      </w:r>
      <w:r w:rsidRPr="00CF6B0A">
        <w:rPr>
          <w:rFonts w:ascii="Arial" w:hAnsi="Arial" w:cs="Arial"/>
        </w:rPr>
        <w:t xml:space="preserve"> la imposibilitatea participării la schimburile de bune practici din Norvegia.</w:t>
      </w:r>
    </w:p>
    <w:p w14:paraId="6601CD5C" w14:textId="3DCF6EBD" w:rsidR="00CF6B0A" w:rsidRPr="00CF6B0A" w:rsidRDefault="00CF6B0A" w:rsidP="00CF6B0A">
      <w:pPr>
        <w:rPr>
          <w:rFonts w:ascii="Arial" w:hAnsi="Arial" w:cs="Arial"/>
        </w:rPr>
      </w:pPr>
    </w:p>
    <w:sectPr w:rsidR="00CF6B0A" w:rsidRPr="00CF6B0A" w:rsidSect="00A76DD1">
      <w:headerReference w:type="default" r:id="rId7"/>
      <w:footerReference w:type="default" r:id="rId8"/>
      <w:pgSz w:w="11906" w:h="16838"/>
      <w:pgMar w:top="1560" w:right="1440" w:bottom="1418" w:left="1440" w:header="284" w:footer="5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4D7F2E" w14:textId="77777777" w:rsidR="00B44508" w:rsidRDefault="00B44508" w:rsidP="00F90DF3">
      <w:pPr>
        <w:spacing w:after="0" w:line="240" w:lineRule="auto"/>
      </w:pPr>
      <w:r>
        <w:separator/>
      </w:r>
    </w:p>
  </w:endnote>
  <w:endnote w:type="continuationSeparator" w:id="0">
    <w:p w14:paraId="7C0CC7B0" w14:textId="77777777" w:rsidR="00B44508" w:rsidRDefault="00B44508" w:rsidP="00F90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altName w:val="Tahoma"/>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248F1" w14:textId="75B6B497" w:rsidR="00F90DF3" w:rsidRDefault="00F626CB" w:rsidP="00F626CB">
    <w:pPr>
      <w:pStyle w:val="Subsol"/>
    </w:pPr>
    <w:r>
      <w:rPr>
        <w:noProof/>
      </w:rPr>
      <w:drawing>
        <wp:anchor distT="0" distB="0" distL="114300" distR="114300" simplePos="0" relativeHeight="251660288" behindDoc="0" locked="0" layoutInCell="1" allowOverlap="1" wp14:anchorId="6A7DC027" wp14:editId="01AE8DCE">
          <wp:simplePos x="0" y="0"/>
          <wp:positionH relativeFrom="column">
            <wp:posOffset>3870960</wp:posOffset>
          </wp:positionH>
          <wp:positionV relativeFrom="paragraph">
            <wp:posOffset>-349250</wp:posOffset>
          </wp:positionV>
          <wp:extent cx="914400" cy="914400"/>
          <wp:effectExtent l="0" t="0" r="0" b="0"/>
          <wp:wrapNone/>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2EEC8FF1" wp14:editId="7B05D9E9">
          <wp:simplePos x="0" y="0"/>
          <wp:positionH relativeFrom="column">
            <wp:posOffset>1687467</wp:posOffset>
          </wp:positionH>
          <wp:positionV relativeFrom="paragraph">
            <wp:posOffset>-180975</wp:posOffset>
          </wp:positionV>
          <wp:extent cx="1833880" cy="530225"/>
          <wp:effectExtent l="0" t="0" r="0" b="3175"/>
          <wp:wrapNone/>
          <wp:docPr id="209"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2" cstate="email">
                    <a:extLst>
                      <a:ext uri="{28A0092B-C50C-407E-A947-70E740481C1C}">
                        <a14:useLocalDpi xmlns:a14="http://schemas.microsoft.com/office/drawing/2010/main"/>
                      </a:ext>
                    </a:extLst>
                  </a:blip>
                  <a:srcRect/>
                  <a:stretch>
                    <a:fillRect/>
                  </a:stretch>
                </pic:blipFill>
                <pic:spPr bwMode="auto">
                  <a:xfrm>
                    <a:off x="0" y="0"/>
                    <a:ext cx="1833880" cy="530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2C820162" wp14:editId="30506E26">
          <wp:simplePos x="0" y="0"/>
          <wp:positionH relativeFrom="column">
            <wp:posOffset>23132</wp:posOffset>
          </wp:positionH>
          <wp:positionV relativeFrom="paragraph">
            <wp:posOffset>-183515</wp:posOffset>
          </wp:positionV>
          <wp:extent cx="1154430" cy="535305"/>
          <wp:effectExtent l="0" t="0" r="7620" b="0"/>
          <wp:wrapNone/>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 cstate="email">
                    <a:extLst>
                      <a:ext uri="{28A0092B-C50C-407E-A947-70E740481C1C}">
                        <a14:useLocalDpi xmlns:a14="http://schemas.microsoft.com/office/drawing/2010/main"/>
                      </a:ext>
                    </a:extLst>
                  </a:blip>
                  <a:srcRect/>
                  <a:stretch>
                    <a:fillRect/>
                  </a:stretch>
                </pic:blipFill>
                <pic:spPr bwMode="auto">
                  <a:xfrm>
                    <a:off x="0" y="0"/>
                    <a:ext cx="1154430" cy="535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3BB968DF" wp14:editId="7D3AF7F1">
          <wp:simplePos x="0" y="0"/>
          <wp:positionH relativeFrom="column">
            <wp:posOffset>5188222</wp:posOffset>
          </wp:positionH>
          <wp:positionV relativeFrom="paragraph">
            <wp:posOffset>-189230</wp:posOffset>
          </wp:positionV>
          <wp:extent cx="555171" cy="557899"/>
          <wp:effectExtent l="0" t="0" r="0" b="0"/>
          <wp:wrapNone/>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email">
                    <a:extLst>
                      <a:ext uri="{28A0092B-C50C-407E-A947-70E740481C1C}">
                        <a14:useLocalDpi xmlns:a14="http://schemas.microsoft.com/office/drawing/2010/main"/>
                      </a:ext>
                    </a:extLst>
                  </a:blip>
                  <a:srcRect/>
                  <a:stretch>
                    <a:fillRect/>
                  </a:stretch>
                </pic:blipFill>
                <pic:spPr bwMode="auto">
                  <a:xfrm>
                    <a:off x="0" y="0"/>
                    <a:ext cx="555171" cy="557899"/>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9726BE" w14:textId="77777777" w:rsidR="00B44508" w:rsidRDefault="00B44508" w:rsidP="00F90DF3">
      <w:pPr>
        <w:spacing w:after="0" w:line="240" w:lineRule="auto"/>
      </w:pPr>
      <w:r>
        <w:separator/>
      </w:r>
    </w:p>
  </w:footnote>
  <w:footnote w:type="continuationSeparator" w:id="0">
    <w:p w14:paraId="572F6879" w14:textId="77777777" w:rsidR="00B44508" w:rsidRDefault="00B44508" w:rsidP="00F90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15F48" w14:textId="34A14161" w:rsidR="00F90DF3" w:rsidRDefault="00A76DD1">
    <w:pPr>
      <w:pStyle w:val="Antet"/>
    </w:pPr>
    <w:r w:rsidRPr="007A31FC">
      <w:rPr>
        <w:noProof/>
      </w:rPr>
      <w:drawing>
        <wp:anchor distT="0" distB="0" distL="114300" distR="114300" simplePos="0" relativeHeight="251669504" behindDoc="0" locked="0" layoutInCell="1" allowOverlap="1" wp14:anchorId="481E3121" wp14:editId="6BDDD8CE">
          <wp:simplePos x="0" y="0"/>
          <wp:positionH relativeFrom="column">
            <wp:posOffset>32476</wp:posOffset>
          </wp:positionH>
          <wp:positionV relativeFrom="paragraph">
            <wp:posOffset>3810</wp:posOffset>
          </wp:positionV>
          <wp:extent cx="608965" cy="678180"/>
          <wp:effectExtent l="0" t="0" r="635" b="7620"/>
          <wp:wrapNone/>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608965" cy="6781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4862535F" wp14:editId="335F58C9">
          <wp:simplePos x="0" y="0"/>
          <wp:positionH relativeFrom="column">
            <wp:posOffset>4516846</wp:posOffset>
          </wp:positionH>
          <wp:positionV relativeFrom="paragraph">
            <wp:posOffset>3810</wp:posOffset>
          </wp:positionV>
          <wp:extent cx="1083945" cy="678180"/>
          <wp:effectExtent l="0" t="0" r="1905" b="0"/>
          <wp:wrapThrough wrapText="bothSides">
            <wp:wrapPolygon edited="0">
              <wp:start x="3796" y="0"/>
              <wp:lineTo x="1518" y="1213"/>
              <wp:lineTo x="0" y="4854"/>
              <wp:lineTo x="759" y="20629"/>
              <wp:lineTo x="11768" y="20629"/>
              <wp:lineTo x="14046" y="19416"/>
              <wp:lineTo x="20879" y="12742"/>
              <wp:lineTo x="21258" y="6674"/>
              <wp:lineTo x="17462" y="4247"/>
              <wp:lineTo x="8731" y="0"/>
              <wp:lineTo x="3796" y="0"/>
            </wp:wrapPolygon>
          </wp:wrapThrough>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 cstate="email">
                    <a:extLst>
                      <a:ext uri="{28A0092B-C50C-407E-A947-70E740481C1C}">
                        <a14:useLocalDpi xmlns:a14="http://schemas.microsoft.com/office/drawing/2010/main"/>
                      </a:ext>
                    </a:extLst>
                  </a:blip>
                  <a:srcRect/>
                  <a:stretch>
                    <a:fillRect/>
                  </a:stretch>
                </pic:blipFill>
                <pic:spPr bwMode="auto">
                  <a:xfrm>
                    <a:off x="0" y="0"/>
                    <a:ext cx="1083945" cy="678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47235"/>
    <w:multiLevelType w:val="hybridMultilevel"/>
    <w:tmpl w:val="37F2A1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7C02A9"/>
    <w:multiLevelType w:val="hybridMultilevel"/>
    <w:tmpl w:val="68D04CB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7D7D05F4"/>
    <w:multiLevelType w:val="hybridMultilevel"/>
    <w:tmpl w:val="879AC3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BE6"/>
    <w:rsid w:val="000046B7"/>
    <w:rsid w:val="00036D2B"/>
    <w:rsid w:val="000B46D4"/>
    <w:rsid w:val="002F4FBF"/>
    <w:rsid w:val="00370BE6"/>
    <w:rsid w:val="0047703E"/>
    <w:rsid w:val="004F2C19"/>
    <w:rsid w:val="008E43C2"/>
    <w:rsid w:val="009F5DAE"/>
    <w:rsid w:val="00A465E5"/>
    <w:rsid w:val="00A76DD1"/>
    <w:rsid w:val="00B44508"/>
    <w:rsid w:val="00B51A4C"/>
    <w:rsid w:val="00CE5ED0"/>
    <w:rsid w:val="00CF6B0A"/>
    <w:rsid w:val="00D609A3"/>
    <w:rsid w:val="00DC7E85"/>
    <w:rsid w:val="00EF7B55"/>
    <w:rsid w:val="00F626CB"/>
    <w:rsid w:val="00F90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27012"/>
  <w15:chartTrackingRefBased/>
  <w15:docId w15:val="{88F955D8-D878-4B59-9C2E-48445F730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aliases w:val=" Caracter, Char"/>
    <w:basedOn w:val="Normal"/>
    <w:link w:val="AntetCaracter"/>
    <w:unhideWhenUsed/>
    <w:rsid w:val="00F90DF3"/>
    <w:pPr>
      <w:tabs>
        <w:tab w:val="center" w:pos="4513"/>
        <w:tab w:val="right" w:pos="9026"/>
      </w:tabs>
      <w:spacing w:after="0" w:line="240" w:lineRule="auto"/>
    </w:pPr>
  </w:style>
  <w:style w:type="character" w:customStyle="1" w:styleId="AntetCaracter">
    <w:name w:val="Antet Caracter"/>
    <w:aliases w:val=" Caracter Caracter, Char Caracter"/>
    <w:basedOn w:val="Fontdeparagrafimplicit"/>
    <w:link w:val="Antet"/>
    <w:rsid w:val="00F90DF3"/>
  </w:style>
  <w:style w:type="paragraph" w:styleId="Subsol">
    <w:name w:val="footer"/>
    <w:basedOn w:val="Normal"/>
    <w:link w:val="SubsolCaracter"/>
    <w:uiPriority w:val="99"/>
    <w:unhideWhenUsed/>
    <w:rsid w:val="00F90DF3"/>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90DF3"/>
  </w:style>
  <w:style w:type="character" w:customStyle="1" w:styleId="normaltextrun">
    <w:name w:val="normaltextrun"/>
    <w:basedOn w:val="Fontdeparagrafimplicit"/>
    <w:rsid w:val="000B46D4"/>
  </w:style>
  <w:style w:type="character" w:customStyle="1" w:styleId="eop">
    <w:name w:val="eop"/>
    <w:basedOn w:val="Fontdeparagrafimplicit"/>
    <w:rsid w:val="000B46D4"/>
  </w:style>
  <w:style w:type="paragraph" w:styleId="Listparagraf">
    <w:name w:val="List Paragraph"/>
    <w:basedOn w:val="Normal"/>
    <w:uiPriority w:val="34"/>
    <w:qFormat/>
    <w:rsid w:val="000B46D4"/>
    <w:pPr>
      <w:spacing w:before="160" w:after="240" w:line="276" w:lineRule="auto"/>
      <w:ind w:left="720"/>
      <w:contextualSpacing/>
      <w:jc w:val="both"/>
    </w:pPr>
    <w:rPr>
      <w:rFonts w:ascii="Trebuchet MS" w:hAnsi="Trebuchet MS" w:cs="Open Sans"/>
      <w:color w:val="00000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1751</Words>
  <Characters>10157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dc:creator>
  <cp:keywords/>
  <dc:description/>
  <cp:lastModifiedBy>Mandita Botezatu</cp:lastModifiedBy>
  <cp:revision>2</cp:revision>
  <cp:lastPrinted>2021-01-22T09:35:00Z</cp:lastPrinted>
  <dcterms:created xsi:type="dcterms:W3CDTF">2021-01-22T09:38:00Z</dcterms:created>
  <dcterms:modified xsi:type="dcterms:W3CDTF">2021-01-22T09:38:00Z</dcterms:modified>
</cp:coreProperties>
</file>